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F6" w:rsidRDefault="00EA26F6"/>
    <w:p w:rsidR="007F0603" w:rsidRPr="00033536" w:rsidRDefault="007F0603" w:rsidP="00033536">
      <w:pPr>
        <w:pBdr>
          <w:top w:val="single" w:sz="4" w:space="1" w:color="auto"/>
          <w:left w:val="single" w:sz="4" w:space="4" w:color="auto"/>
          <w:bottom w:val="single" w:sz="4" w:space="1" w:color="auto"/>
          <w:right w:val="single" w:sz="4" w:space="4" w:color="auto"/>
        </w:pBdr>
        <w:rPr>
          <w:rFonts w:ascii="Arial" w:hAnsi="Arial" w:cs="Arial"/>
          <w:b/>
          <w:sz w:val="40"/>
          <w:szCs w:val="40"/>
        </w:rPr>
      </w:pPr>
      <w:r w:rsidRPr="00033536">
        <w:rPr>
          <w:rFonts w:ascii="Arial" w:hAnsi="Arial" w:cs="Arial"/>
          <w:b/>
          <w:sz w:val="40"/>
          <w:szCs w:val="40"/>
        </w:rPr>
        <w:t>France – Afrique : les réseaux</w:t>
      </w:r>
    </w:p>
    <w:p w:rsidR="007F0603" w:rsidRDefault="007F0603"/>
    <w:p w:rsidR="00981518" w:rsidRDefault="00981518" w:rsidP="00981518">
      <w:pPr>
        <w:pBdr>
          <w:top w:val="single" w:sz="4" w:space="1" w:color="auto"/>
          <w:left w:val="single" w:sz="4" w:space="4" w:color="auto"/>
          <w:bottom w:val="single" w:sz="4" w:space="1" w:color="auto"/>
          <w:right w:val="single" w:sz="4" w:space="4" w:color="auto"/>
        </w:pBdr>
        <w:spacing w:before="360" w:line="240" w:lineRule="auto"/>
        <w:rPr>
          <w:rFonts w:ascii="Arial" w:hAnsi="Arial" w:cs="Arial"/>
        </w:rPr>
      </w:pPr>
      <w:r w:rsidRPr="00981518">
        <w:rPr>
          <w:rFonts w:ascii="Arial" w:hAnsi="Arial" w:cs="Arial"/>
          <w:u w:val="single"/>
        </w:rPr>
        <w:t>Aux étudiants du SED</w:t>
      </w:r>
      <w:r w:rsidRPr="00981518">
        <w:rPr>
          <w:rFonts w:ascii="Arial" w:hAnsi="Arial" w:cs="Arial"/>
        </w:rPr>
        <w:t> : voici, guidée, la réflexion que nous avons eue avec les étudiants qui suivent les cours.</w:t>
      </w:r>
    </w:p>
    <w:p w:rsidR="00981518" w:rsidRDefault="00981518" w:rsidP="009815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Je vous recommande de lire attentivement les textes. De répondre aux questions. Utilisez la fonction « suivi de version » qui permet de voir tout de suite ce que vous avez ajouté. Vous pouvez aussi mettre des « commentaires » à vos propos. Je vous envoie ce « questionnaire » sous format « </w:t>
      </w:r>
      <w:proofErr w:type="spellStart"/>
      <w:r>
        <w:rPr>
          <w:rFonts w:ascii="Arial" w:hAnsi="Arial" w:cs="Arial"/>
        </w:rPr>
        <w:t>word</w:t>
      </w:r>
      <w:proofErr w:type="spellEnd"/>
      <w:r>
        <w:rPr>
          <w:rFonts w:ascii="Arial" w:hAnsi="Arial" w:cs="Arial"/>
        </w:rPr>
        <w:t> » pour que vous puissiez répondre à l’intérieur et me le renvoyer.</w:t>
      </w:r>
    </w:p>
    <w:p w:rsidR="00981518" w:rsidRPr="00981518" w:rsidRDefault="00981518">
      <w:pPr>
        <w:rPr>
          <w:rFonts w:ascii="Arial" w:hAnsi="Arial" w:cs="Arial"/>
        </w:rPr>
      </w:pPr>
    </w:p>
    <w:p w:rsidR="00981518" w:rsidRPr="00981518" w:rsidRDefault="00981518">
      <w:pPr>
        <w:rPr>
          <w:rFonts w:ascii="Arial" w:hAnsi="Arial" w:cs="Arial"/>
        </w:rPr>
      </w:pPr>
    </w:p>
    <w:p w:rsidR="00981518" w:rsidRPr="00981518" w:rsidRDefault="00981518">
      <w:pPr>
        <w:rPr>
          <w:rFonts w:ascii="Arial" w:hAnsi="Arial" w:cs="Arial"/>
        </w:rPr>
      </w:pPr>
    </w:p>
    <w:p w:rsidR="00981518" w:rsidRPr="00981518" w:rsidRDefault="00981518">
      <w:pPr>
        <w:rPr>
          <w:rFonts w:ascii="Arial" w:hAnsi="Arial" w:cs="Arial"/>
        </w:rPr>
      </w:pPr>
    </w:p>
    <w:p w:rsidR="007F0603" w:rsidRPr="00981518" w:rsidRDefault="007F0603">
      <w:pPr>
        <w:rPr>
          <w:rFonts w:ascii="Arial" w:hAnsi="Arial" w:cs="Arial"/>
        </w:rPr>
      </w:pPr>
      <w:r w:rsidRPr="00981518">
        <w:rPr>
          <w:rFonts w:ascii="Arial" w:hAnsi="Arial" w:cs="Arial"/>
          <w:u w:val="single"/>
        </w:rPr>
        <w:t>Objectif</w:t>
      </w:r>
      <w:r w:rsidRPr="00981518">
        <w:rPr>
          <w:rFonts w:ascii="Arial" w:hAnsi="Arial" w:cs="Arial"/>
        </w:rPr>
        <w:t> : voir l’enchevêtrement des réseaux « </w:t>
      </w:r>
      <w:proofErr w:type="spellStart"/>
      <w:r w:rsidRPr="00981518">
        <w:rPr>
          <w:rFonts w:ascii="Arial" w:hAnsi="Arial" w:cs="Arial"/>
        </w:rPr>
        <w:t>françafricains</w:t>
      </w:r>
      <w:proofErr w:type="spellEnd"/>
      <w:r w:rsidRPr="00981518">
        <w:rPr>
          <w:rStyle w:val="Appelnotedebasdep"/>
          <w:rFonts w:ascii="Arial" w:hAnsi="Arial" w:cs="Arial"/>
        </w:rPr>
        <w:footnoteReference w:id="1"/>
      </w:r>
      <w:r w:rsidRPr="00981518">
        <w:rPr>
          <w:rFonts w:ascii="Arial" w:hAnsi="Arial" w:cs="Arial"/>
        </w:rPr>
        <w:t xml:space="preserve"> » </w:t>
      </w:r>
    </w:p>
    <w:p w:rsidR="007F0603" w:rsidRPr="00981518" w:rsidRDefault="00033536">
      <w:pPr>
        <w:rPr>
          <w:rFonts w:ascii="Arial" w:hAnsi="Arial" w:cs="Arial"/>
        </w:rPr>
      </w:pPr>
      <w:r w:rsidRPr="00981518">
        <w:rPr>
          <w:rFonts w:ascii="Arial" w:hAnsi="Arial" w:cs="Arial"/>
        </w:rPr>
        <w:t xml:space="preserve">Deux textes renvoyant à </w:t>
      </w:r>
      <w:r w:rsidR="00712EEB">
        <w:rPr>
          <w:rFonts w:ascii="Arial" w:hAnsi="Arial" w:cs="Arial"/>
        </w:rPr>
        <w:t>des exemples pris en Côte d’ivoire</w:t>
      </w:r>
      <w:r w:rsidRPr="00981518">
        <w:rPr>
          <w:rFonts w:ascii="Arial" w:hAnsi="Arial" w:cs="Arial"/>
        </w:rPr>
        <w:t>.</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033536" w:rsidRPr="00AC229C" w:rsidTr="00033536">
        <w:trPr>
          <w:trHeight w:val="711"/>
        </w:trPr>
        <w:tc>
          <w:tcPr>
            <w:tcW w:w="9464" w:type="dxa"/>
          </w:tcPr>
          <w:p w:rsidR="00033536" w:rsidRPr="00AC229C" w:rsidRDefault="00033536">
            <w:pPr>
              <w:pStyle w:val="Default"/>
              <w:rPr>
                <w:sz w:val="22"/>
                <w:szCs w:val="22"/>
              </w:rPr>
            </w:pPr>
            <w:r w:rsidRPr="00AC229C">
              <w:rPr>
                <w:sz w:val="22"/>
                <w:szCs w:val="22"/>
              </w:rPr>
              <w:t xml:space="preserve">1 -  </w:t>
            </w:r>
            <w:r w:rsidRPr="00AC229C">
              <w:rPr>
                <w:bCs/>
                <w:sz w:val="22"/>
                <w:szCs w:val="22"/>
              </w:rPr>
              <w:t xml:space="preserve">CERCLE D’AMITIÉ ET DE SOUTIEN AU RENOUVEAU FRANCO-IVOIRIEN </w:t>
            </w:r>
          </w:p>
          <w:p w:rsidR="00033536" w:rsidRPr="00AC229C" w:rsidRDefault="00033536" w:rsidP="00033536">
            <w:pPr>
              <w:pStyle w:val="Default"/>
              <w:rPr>
                <w:bCs/>
                <w:sz w:val="22"/>
                <w:szCs w:val="22"/>
              </w:rPr>
            </w:pPr>
            <w:r w:rsidRPr="00AC229C">
              <w:rPr>
                <w:bCs/>
                <w:sz w:val="22"/>
                <w:szCs w:val="22"/>
              </w:rPr>
              <w:t xml:space="preserve">Voici les financiers et le staff de campagne de Gbagbo pour les élections de 2005 </w:t>
            </w:r>
          </w:p>
          <w:p w:rsidR="00033536" w:rsidRPr="00AC229C" w:rsidRDefault="00033536" w:rsidP="00033536">
            <w:pPr>
              <w:pStyle w:val="Default"/>
              <w:rPr>
                <w:bCs/>
                <w:sz w:val="22"/>
                <w:szCs w:val="22"/>
              </w:rPr>
            </w:pPr>
            <w:r w:rsidRPr="00AC229C">
              <w:rPr>
                <w:bCs/>
                <w:sz w:val="22"/>
                <w:szCs w:val="22"/>
              </w:rPr>
              <w:t>(L’intelligent d’Abidjan, 11 février 2004)</w:t>
            </w:r>
          </w:p>
          <w:p w:rsidR="00033536" w:rsidRPr="00AC229C" w:rsidRDefault="00033536" w:rsidP="00033536">
            <w:pPr>
              <w:pStyle w:val="Default"/>
              <w:rPr>
                <w:bCs/>
                <w:sz w:val="22"/>
                <w:szCs w:val="22"/>
              </w:rPr>
            </w:pPr>
          </w:p>
          <w:p w:rsidR="00033536" w:rsidRPr="00AC229C" w:rsidRDefault="00033536" w:rsidP="00033536">
            <w:pPr>
              <w:pStyle w:val="Default"/>
              <w:rPr>
                <w:bCs/>
                <w:sz w:val="22"/>
                <w:szCs w:val="22"/>
              </w:rPr>
            </w:pPr>
            <w:r w:rsidRPr="00AC229C">
              <w:rPr>
                <w:bCs/>
                <w:sz w:val="22"/>
                <w:szCs w:val="22"/>
              </w:rPr>
              <w:t>2 – La preuve que Kieffer n’est peut-être pas mort (L’intelligent d’Abidjan, 21 mai 2004</w:t>
            </w:r>
            <w:r w:rsidR="00981518">
              <w:rPr>
                <w:bCs/>
                <w:sz w:val="22"/>
                <w:szCs w:val="22"/>
              </w:rPr>
              <w:t>) + « annexe » : Gbagbo paye les fonctionnaires de Guinée Bissau.</w:t>
            </w:r>
          </w:p>
          <w:p w:rsidR="00AB675A" w:rsidRPr="00AC229C" w:rsidRDefault="00AB675A" w:rsidP="00033536">
            <w:pPr>
              <w:pStyle w:val="Default"/>
              <w:rPr>
                <w:bCs/>
                <w:sz w:val="22"/>
                <w:szCs w:val="22"/>
              </w:rPr>
            </w:pPr>
          </w:p>
          <w:p w:rsidR="00AB675A" w:rsidRPr="00AC229C" w:rsidRDefault="00AB675A" w:rsidP="00033536">
            <w:pPr>
              <w:pStyle w:val="Default"/>
              <w:rPr>
                <w:bCs/>
                <w:sz w:val="22"/>
                <w:szCs w:val="22"/>
              </w:rPr>
            </w:pPr>
          </w:p>
          <w:p w:rsidR="00AB675A" w:rsidRPr="00AC229C" w:rsidRDefault="00AB675A" w:rsidP="00AB675A">
            <w:pPr>
              <w:pStyle w:val="Default"/>
              <w:rPr>
                <w:bCs/>
                <w:sz w:val="22"/>
                <w:szCs w:val="22"/>
              </w:rPr>
            </w:pPr>
            <w:r w:rsidRPr="00AC229C">
              <w:rPr>
                <w:b/>
                <w:bCs/>
                <w:sz w:val="22"/>
                <w:szCs w:val="22"/>
                <w:u w:val="single"/>
              </w:rPr>
              <w:t>Texte 1</w:t>
            </w:r>
            <w:r w:rsidRPr="00AC229C">
              <w:rPr>
                <w:bCs/>
                <w:sz w:val="22"/>
                <w:szCs w:val="22"/>
              </w:rPr>
              <w:t> : Très probablement écrit par Guy-André Kieffer, même s’il est signé du rédacteur en chef du journal. Kieffer écrivait ce type d’informations pour la revue « La lettre du Continent »</w:t>
            </w:r>
            <w:r w:rsidR="005E472E" w:rsidRPr="00AC229C">
              <w:rPr>
                <w:bCs/>
                <w:sz w:val="22"/>
                <w:szCs w:val="22"/>
              </w:rPr>
              <w:t xml:space="preserve">, largement destinée aux journalistes et chefs d’entreprises.  </w:t>
            </w:r>
          </w:p>
          <w:p w:rsidR="005E472E" w:rsidRPr="00AC229C" w:rsidRDefault="005E472E" w:rsidP="00AB675A">
            <w:pPr>
              <w:pStyle w:val="Default"/>
              <w:rPr>
                <w:bCs/>
                <w:sz w:val="22"/>
                <w:szCs w:val="22"/>
              </w:rPr>
            </w:pPr>
          </w:p>
          <w:p w:rsidR="005E472E" w:rsidRPr="00AC229C" w:rsidRDefault="005E472E" w:rsidP="00AB675A">
            <w:pPr>
              <w:pStyle w:val="Default"/>
              <w:rPr>
                <w:bCs/>
                <w:sz w:val="22"/>
                <w:szCs w:val="22"/>
              </w:rPr>
            </w:pPr>
            <w:r w:rsidRPr="00AC229C">
              <w:rPr>
                <w:bCs/>
                <w:sz w:val="22"/>
                <w:szCs w:val="22"/>
              </w:rPr>
              <w:t>Début 2004, on pense que les prochaines élections auront lieu à l’automne 2005, le Président Gbagbo ayant été élu à l’automne 2000, pour 5 ans.</w:t>
            </w:r>
          </w:p>
          <w:p w:rsidR="005E472E" w:rsidRPr="00AC229C" w:rsidRDefault="005E472E" w:rsidP="00AB675A">
            <w:pPr>
              <w:pStyle w:val="Default"/>
              <w:rPr>
                <w:bCs/>
                <w:sz w:val="22"/>
                <w:szCs w:val="22"/>
              </w:rPr>
            </w:pPr>
            <w:r w:rsidRPr="00AC229C">
              <w:rPr>
                <w:bCs/>
                <w:sz w:val="22"/>
                <w:szCs w:val="22"/>
              </w:rPr>
              <w:t>Il n’y a pas encore eu la grande crise de novembre 2004 entre la France et la Côte d’ivoire, mais on pense pourtant, depuis le début de la crise née le 19 septembre 2002, avec la tentative de coup d’État qui a échoué, et le refus de la France d’intervenir directement contre les rebelles (« affaires intérieures »), que les relations entre les deux pays sont tendues.</w:t>
            </w:r>
          </w:p>
          <w:p w:rsidR="005E472E" w:rsidRPr="00AC229C" w:rsidRDefault="005E472E" w:rsidP="00AB675A">
            <w:pPr>
              <w:pStyle w:val="Default"/>
              <w:rPr>
                <w:bCs/>
                <w:sz w:val="22"/>
                <w:szCs w:val="22"/>
              </w:rPr>
            </w:pPr>
          </w:p>
          <w:p w:rsidR="005E472E" w:rsidRPr="00AC229C" w:rsidRDefault="005E472E" w:rsidP="00AB675A">
            <w:pPr>
              <w:pStyle w:val="Default"/>
              <w:rPr>
                <w:bCs/>
                <w:sz w:val="22"/>
                <w:szCs w:val="22"/>
              </w:rPr>
            </w:pPr>
            <w:r w:rsidRPr="00AC229C">
              <w:rPr>
                <w:bCs/>
                <w:sz w:val="22"/>
                <w:szCs w:val="22"/>
              </w:rPr>
              <w:t>Ce texte montre que si les relations diplomatiques sont tendues, en revanche, les relations d’affaires obligent à nuancer ce propos.</w:t>
            </w:r>
          </w:p>
          <w:p w:rsidR="005E472E" w:rsidRPr="00AC229C" w:rsidRDefault="005E472E" w:rsidP="00AB675A">
            <w:pPr>
              <w:pStyle w:val="Default"/>
              <w:rPr>
                <w:bCs/>
                <w:sz w:val="22"/>
                <w:szCs w:val="22"/>
              </w:rPr>
            </w:pPr>
          </w:p>
          <w:p w:rsidR="005E472E" w:rsidRPr="00AC229C" w:rsidRDefault="00066028" w:rsidP="00066028">
            <w:pPr>
              <w:pStyle w:val="Default"/>
              <w:numPr>
                <w:ilvl w:val="0"/>
                <w:numId w:val="1"/>
              </w:numPr>
              <w:rPr>
                <w:bCs/>
                <w:sz w:val="22"/>
                <w:szCs w:val="22"/>
              </w:rPr>
            </w:pPr>
            <w:r w:rsidRPr="00AC229C">
              <w:rPr>
                <w:bCs/>
                <w:sz w:val="22"/>
                <w:szCs w:val="22"/>
              </w:rPr>
              <w:t>Quels sont les éléments qui montrent que la « diplomatie » française est partie prenante ?</w:t>
            </w:r>
          </w:p>
          <w:p w:rsidR="005E472E" w:rsidRPr="00AC229C" w:rsidRDefault="005E472E" w:rsidP="005E472E">
            <w:pPr>
              <w:pStyle w:val="Default"/>
              <w:numPr>
                <w:ilvl w:val="0"/>
                <w:numId w:val="1"/>
              </w:numPr>
              <w:rPr>
                <w:sz w:val="22"/>
                <w:szCs w:val="22"/>
              </w:rPr>
            </w:pPr>
            <w:r w:rsidRPr="00AC229C">
              <w:rPr>
                <w:bCs/>
                <w:sz w:val="22"/>
                <w:szCs w:val="22"/>
              </w:rPr>
              <w:t>Quelles sont les catégories de participants à ce « CARFI » ?</w:t>
            </w:r>
          </w:p>
          <w:p w:rsidR="005E472E" w:rsidRPr="00AC229C" w:rsidRDefault="005E472E" w:rsidP="005E472E">
            <w:pPr>
              <w:pStyle w:val="Default"/>
              <w:numPr>
                <w:ilvl w:val="0"/>
                <w:numId w:val="1"/>
              </w:numPr>
              <w:rPr>
                <w:sz w:val="22"/>
                <w:szCs w:val="22"/>
              </w:rPr>
            </w:pPr>
            <w:r w:rsidRPr="00AC229C">
              <w:rPr>
                <w:bCs/>
                <w:sz w:val="22"/>
                <w:szCs w:val="22"/>
              </w:rPr>
              <w:t>Comment peut-on expliquer leur présence ?</w:t>
            </w:r>
          </w:p>
          <w:p w:rsidR="00326BD0" w:rsidRPr="00AC229C" w:rsidRDefault="00326BD0" w:rsidP="005E472E">
            <w:pPr>
              <w:pStyle w:val="Default"/>
              <w:numPr>
                <w:ilvl w:val="0"/>
                <w:numId w:val="1"/>
              </w:numPr>
              <w:rPr>
                <w:sz w:val="22"/>
                <w:szCs w:val="22"/>
              </w:rPr>
            </w:pPr>
            <w:r w:rsidRPr="00AC229C">
              <w:rPr>
                <w:bCs/>
                <w:sz w:val="22"/>
                <w:szCs w:val="22"/>
              </w:rPr>
              <w:t>Quelle conclusion en tirer sur les liens « </w:t>
            </w:r>
            <w:proofErr w:type="spellStart"/>
            <w:r w:rsidRPr="00AC229C">
              <w:rPr>
                <w:bCs/>
                <w:sz w:val="22"/>
                <w:szCs w:val="22"/>
              </w:rPr>
              <w:t>françafricains</w:t>
            </w:r>
            <w:proofErr w:type="spellEnd"/>
            <w:r w:rsidRPr="00AC229C">
              <w:rPr>
                <w:bCs/>
                <w:sz w:val="22"/>
                <w:szCs w:val="22"/>
              </w:rPr>
              <w:t> » même en période de crise ?</w:t>
            </w:r>
          </w:p>
          <w:p w:rsidR="00326BD0" w:rsidRPr="00AC229C" w:rsidRDefault="00326BD0" w:rsidP="00326BD0">
            <w:pPr>
              <w:pStyle w:val="Default"/>
              <w:ind w:left="360"/>
              <w:rPr>
                <w:bCs/>
                <w:sz w:val="22"/>
                <w:szCs w:val="22"/>
              </w:rPr>
            </w:pPr>
          </w:p>
          <w:p w:rsidR="00326BD0" w:rsidRPr="00AC229C" w:rsidRDefault="00326BD0" w:rsidP="00326BD0">
            <w:pPr>
              <w:pStyle w:val="Default"/>
              <w:ind w:left="360"/>
              <w:rPr>
                <w:bCs/>
                <w:sz w:val="22"/>
                <w:szCs w:val="22"/>
              </w:rPr>
            </w:pPr>
          </w:p>
          <w:p w:rsidR="00326BD0" w:rsidRPr="00AC229C" w:rsidRDefault="00326BD0" w:rsidP="00326BD0">
            <w:pPr>
              <w:pStyle w:val="Default"/>
              <w:ind w:left="360"/>
              <w:rPr>
                <w:bCs/>
                <w:sz w:val="22"/>
                <w:szCs w:val="22"/>
              </w:rPr>
            </w:pPr>
          </w:p>
          <w:p w:rsidR="00326BD0" w:rsidRPr="00AC229C" w:rsidRDefault="00326BD0" w:rsidP="00326BD0">
            <w:pPr>
              <w:pStyle w:val="Default"/>
              <w:rPr>
                <w:bCs/>
                <w:sz w:val="22"/>
                <w:szCs w:val="22"/>
              </w:rPr>
            </w:pPr>
            <w:r w:rsidRPr="00AC229C">
              <w:rPr>
                <w:b/>
                <w:bCs/>
                <w:sz w:val="22"/>
                <w:szCs w:val="22"/>
                <w:u w:val="single"/>
              </w:rPr>
              <w:t>Texte 2</w:t>
            </w:r>
            <w:r w:rsidRPr="00AC229C">
              <w:rPr>
                <w:bCs/>
                <w:sz w:val="22"/>
                <w:szCs w:val="22"/>
              </w:rPr>
              <w:t> : Voir la présentation que j’en fais en ouverture du texte. Ce texte rassemble à peu près tous les aspects que peut prendre la « </w:t>
            </w:r>
            <w:proofErr w:type="spellStart"/>
            <w:r w:rsidRPr="00AC229C">
              <w:rPr>
                <w:bCs/>
                <w:sz w:val="22"/>
                <w:szCs w:val="22"/>
              </w:rPr>
              <w:t>françafrique</w:t>
            </w:r>
            <w:proofErr w:type="spellEnd"/>
            <w:r w:rsidRPr="00AC229C">
              <w:rPr>
                <w:bCs/>
                <w:sz w:val="22"/>
                <w:szCs w:val="22"/>
              </w:rPr>
              <w:t> ».  Mais il va plus loin…</w:t>
            </w:r>
          </w:p>
          <w:p w:rsidR="00326BD0" w:rsidRPr="00AC229C" w:rsidRDefault="00326BD0" w:rsidP="00326BD0">
            <w:pPr>
              <w:pStyle w:val="Default"/>
              <w:rPr>
                <w:bCs/>
                <w:sz w:val="22"/>
                <w:szCs w:val="22"/>
              </w:rPr>
            </w:pPr>
          </w:p>
          <w:p w:rsidR="00326BD0" w:rsidRPr="00AC229C" w:rsidRDefault="00326BD0" w:rsidP="00326BD0">
            <w:pPr>
              <w:pStyle w:val="Default"/>
              <w:numPr>
                <w:ilvl w:val="0"/>
                <w:numId w:val="1"/>
              </w:numPr>
              <w:rPr>
                <w:sz w:val="22"/>
                <w:szCs w:val="22"/>
              </w:rPr>
            </w:pPr>
            <w:r w:rsidRPr="00AC229C">
              <w:rPr>
                <w:bCs/>
                <w:sz w:val="22"/>
                <w:szCs w:val="22"/>
              </w:rPr>
              <w:t>Quels sont les intérêts qui ont été « dérangés » par les enquêtes de ce journaliste ?</w:t>
            </w:r>
          </w:p>
          <w:p w:rsidR="00326BD0" w:rsidRPr="00AC229C" w:rsidRDefault="00AC229C" w:rsidP="00326BD0">
            <w:pPr>
              <w:pStyle w:val="Default"/>
              <w:numPr>
                <w:ilvl w:val="0"/>
                <w:numId w:val="1"/>
              </w:numPr>
              <w:rPr>
                <w:sz w:val="22"/>
                <w:szCs w:val="22"/>
              </w:rPr>
            </w:pPr>
            <w:r w:rsidRPr="00AC229C">
              <w:rPr>
                <w:sz w:val="22"/>
                <w:szCs w:val="22"/>
              </w:rPr>
              <w:t>Quelle forme prend la corruption ?</w:t>
            </w:r>
          </w:p>
          <w:p w:rsidR="00AC229C" w:rsidRPr="00AC229C" w:rsidRDefault="00AC229C" w:rsidP="00326BD0">
            <w:pPr>
              <w:pStyle w:val="Default"/>
              <w:numPr>
                <w:ilvl w:val="0"/>
                <w:numId w:val="1"/>
              </w:numPr>
              <w:rPr>
                <w:sz w:val="22"/>
                <w:szCs w:val="22"/>
              </w:rPr>
            </w:pPr>
            <w:r w:rsidRPr="00AC229C">
              <w:rPr>
                <w:sz w:val="22"/>
                <w:szCs w:val="22"/>
              </w:rPr>
              <w:t>Quelle forme prennent les détournements de fonds ?</w:t>
            </w:r>
          </w:p>
          <w:p w:rsidR="00AC229C" w:rsidRDefault="00AC229C" w:rsidP="00326BD0">
            <w:pPr>
              <w:pStyle w:val="Default"/>
              <w:numPr>
                <w:ilvl w:val="0"/>
                <w:numId w:val="1"/>
              </w:numPr>
              <w:rPr>
                <w:sz w:val="22"/>
                <w:szCs w:val="22"/>
              </w:rPr>
            </w:pPr>
            <w:r w:rsidRPr="00AC229C">
              <w:rPr>
                <w:sz w:val="22"/>
                <w:szCs w:val="22"/>
              </w:rPr>
              <w:t xml:space="preserve">Quels sont les intérêts des entreprises françaises ? Sont-elles toutes concernées ? Qu’est-ce que cela suppose </w:t>
            </w:r>
            <w:r w:rsidR="00B54468">
              <w:rPr>
                <w:sz w:val="22"/>
                <w:szCs w:val="22"/>
              </w:rPr>
              <w:t xml:space="preserve">alors </w:t>
            </w:r>
            <w:r w:rsidRPr="00AC229C">
              <w:rPr>
                <w:sz w:val="22"/>
                <w:szCs w:val="22"/>
              </w:rPr>
              <w:t>comme préalable… et comme conséquence</w:t>
            </w:r>
            <w:r w:rsidR="00BD7677">
              <w:rPr>
                <w:sz w:val="22"/>
                <w:szCs w:val="22"/>
              </w:rPr>
              <w:t>s</w:t>
            </w:r>
            <w:bookmarkStart w:id="0" w:name="_GoBack"/>
            <w:bookmarkEnd w:id="0"/>
            <w:r w:rsidRPr="00AC229C">
              <w:rPr>
                <w:sz w:val="22"/>
                <w:szCs w:val="22"/>
              </w:rPr>
              <w:t xml:space="preserve"> pour les relations entre les deux pays ?</w:t>
            </w:r>
          </w:p>
          <w:p w:rsidR="00817D83" w:rsidRDefault="00817D83" w:rsidP="00326BD0">
            <w:pPr>
              <w:pStyle w:val="Default"/>
              <w:numPr>
                <w:ilvl w:val="0"/>
                <w:numId w:val="1"/>
              </w:numPr>
              <w:rPr>
                <w:sz w:val="22"/>
                <w:szCs w:val="22"/>
              </w:rPr>
            </w:pPr>
            <w:r>
              <w:rPr>
                <w:sz w:val="22"/>
                <w:szCs w:val="22"/>
              </w:rPr>
              <w:t>Pourquoi parle-t-on de « loi du silence » ? Comment cela s’explique-t-il ici ? Quelle est la référence explicite quand est utilisé le terme de « loi du milieu » ?</w:t>
            </w:r>
          </w:p>
          <w:p w:rsidR="00483042" w:rsidRDefault="00483042" w:rsidP="00326BD0">
            <w:pPr>
              <w:pStyle w:val="Default"/>
              <w:numPr>
                <w:ilvl w:val="0"/>
                <w:numId w:val="1"/>
              </w:numPr>
              <w:rPr>
                <w:sz w:val="22"/>
                <w:szCs w:val="22"/>
              </w:rPr>
            </w:pPr>
            <w:r>
              <w:rPr>
                <w:sz w:val="22"/>
                <w:szCs w:val="22"/>
              </w:rPr>
              <w:t>L’affaire de Guinée Bissau est complexe et ne peut être abordée uniquement à partir de ce texte, mais lorsqu’il a été publié, un autre document faisant la synthèse de l’enquête de Kieffer avait été publié dans la presse, et tout le monde en connaissait le contenu. Je vous joins ce document…</w:t>
            </w:r>
          </w:p>
          <w:p w:rsidR="009663C2" w:rsidRDefault="009663C2" w:rsidP="00483042">
            <w:pPr>
              <w:pStyle w:val="Default"/>
              <w:ind w:left="720"/>
              <w:rPr>
                <w:sz w:val="22"/>
                <w:szCs w:val="22"/>
              </w:rPr>
            </w:pPr>
          </w:p>
          <w:p w:rsidR="00483042" w:rsidRDefault="00483042" w:rsidP="00483042">
            <w:pPr>
              <w:pStyle w:val="Default"/>
              <w:ind w:left="720"/>
              <w:rPr>
                <w:sz w:val="22"/>
                <w:szCs w:val="22"/>
              </w:rPr>
            </w:pPr>
            <w:r>
              <w:rPr>
                <w:sz w:val="22"/>
                <w:szCs w:val="22"/>
              </w:rPr>
              <w:t xml:space="preserve">Et donc, à partir de ce document « annexe », quel </w:t>
            </w:r>
            <w:r w:rsidR="00E50F26">
              <w:rPr>
                <w:sz w:val="22"/>
                <w:szCs w:val="22"/>
              </w:rPr>
              <w:t>nouveau type de « réseau » est ici mis en avant ?</w:t>
            </w:r>
          </w:p>
          <w:p w:rsidR="009663C2" w:rsidRDefault="009663C2" w:rsidP="00483042">
            <w:pPr>
              <w:pStyle w:val="Default"/>
              <w:ind w:left="720"/>
              <w:rPr>
                <w:sz w:val="22"/>
                <w:szCs w:val="22"/>
              </w:rPr>
            </w:pPr>
          </w:p>
          <w:p w:rsidR="009663C2" w:rsidRPr="00AC229C" w:rsidRDefault="009663C2" w:rsidP="00483042">
            <w:pPr>
              <w:pStyle w:val="Default"/>
              <w:ind w:left="720"/>
              <w:rPr>
                <w:sz w:val="22"/>
                <w:szCs w:val="22"/>
              </w:rPr>
            </w:pPr>
            <w:r>
              <w:rPr>
                <w:sz w:val="22"/>
                <w:szCs w:val="22"/>
              </w:rPr>
              <w:t>En quoi ces réseaux jouent-ils un rôle important dans la géopolitique de l’Afrique ?</w:t>
            </w:r>
          </w:p>
          <w:p w:rsidR="005E472E" w:rsidRPr="00AC229C" w:rsidRDefault="005E472E" w:rsidP="00066028">
            <w:pPr>
              <w:pStyle w:val="Default"/>
              <w:ind w:left="720"/>
              <w:rPr>
                <w:sz w:val="22"/>
                <w:szCs w:val="22"/>
              </w:rPr>
            </w:pPr>
          </w:p>
        </w:tc>
      </w:tr>
    </w:tbl>
    <w:p w:rsidR="00033536" w:rsidRDefault="00033536"/>
    <w:sectPr w:rsidR="000335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47" w:rsidRDefault="00B96447" w:rsidP="004979A9">
      <w:pPr>
        <w:spacing w:after="0" w:line="240" w:lineRule="auto"/>
      </w:pPr>
      <w:r>
        <w:separator/>
      </w:r>
    </w:p>
  </w:endnote>
  <w:endnote w:type="continuationSeparator" w:id="0">
    <w:p w:rsidR="00B96447" w:rsidRDefault="00B96447" w:rsidP="0049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47" w:rsidRDefault="00B96447" w:rsidP="004979A9">
      <w:pPr>
        <w:spacing w:after="0" w:line="240" w:lineRule="auto"/>
      </w:pPr>
      <w:r>
        <w:separator/>
      </w:r>
    </w:p>
  </w:footnote>
  <w:footnote w:type="continuationSeparator" w:id="0">
    <w:p w:rsidR="00B96447" w:rsidRDefault="00B96447" w:rsidP="004979A9">
      <w:pPr>
        <w:spacing w:after="0" w:line="240" w:lineRule="auto"/>
      </w:pPr>
      <w:r>
        <w:continuationSeparator/>
      </w:r>
    </w:p>
  </w:footnote>
  <w:footnote w:id="1">
    <w:p w:rsidR="007F0603" w:rsidRDefault="007F0603">
      <w:pPr>
        <w:pStyle w:val="Notedebasdepage"/>
      </w:pPr>
      <w:r>
        <w:rPr>
          <w:rStyle w:val="Appelnotedebasdep"/>
        </w:rPr>
        <w:footnoteRef/>
      </w:r>
      <w:r>
        <w:t xml:space="preserve"> Le terme de « France-Afrique » avait été utilisé d’abord par Félix </w:t>
      </w:r>
      <w:proofErr w:type="spellStart"/>
      <w:r>
        <w:t>Houphët-Boigny</w:t>
      </w:r>
      <w:proofErr w:type="spellEnd"/>
      <w:r>
        <w:t>, premier Président de la Côte d’ivoire, pour nommer les liens forts unissant l’ancienne métropole à ses anciennes colonies. Il est depuis devenu « </w:t>
      </w:r>
      <w:proofErr w:type="spellStart"/>
      <w:r>
        <w:t>Françafrique</w:t>
      </w:r>
      <w:proofErr w:type="spellEnd"/>
      <w:r>
        <w:t> » dans les textes des ONG et associations dénonçant ces mêmes liens, en particulier l’association « Survie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A9" w:rsidRPr="004979A9" w:rsidRDefault="004979A9" w:rsidP="004979A9">
    <w:pPr>
      <w:pStyle w:val="En-tte"/>
      <w:jc w:val="center"/>
      <w:rPr>
        <w:sz w:val="20"/>
        <w:szCs w:val="20"/>
      </w:rPr>
    </w:pPr>
    <w:r w:rsidRPr="004979A9">
      <w:rPr>
        <w:sz w:val="20"/>
        <w:szCs w:val="20"/>
      </w:rPr>
      <w:t xml:space="preserve">Géopolitique de l’Afrique – </w:t>
    </w:r>
    <w:proofErr w:type="spellStart"/>
    <w:r w:rsidRPr="004979A9">
      <w:rPr>
        <w:sz w:val="20"/>
        <w:szCs w:val="20"/>
      </w:rPr>
      <w:t>Yveline</w:t>
    </w:r>
    <w:proofErr w:type="spellEnd"/>
    <w:r w:rsidRPr="004979A9">
      <w:rPr>
        <w:sz w:val="20"/>
        <w:szCs w:val="20"/>
      </w:rPr>
      <w:t xml:space="preserve"> </w:t>
    </w:r>
    <w:proofErr w:type="spellStart"/>
    <w:r w:rsidRPr="004979A9">
      <w:rPr>
        <w:sz w:val="20"/>
        <w:szCs w:val="20"/>
      </w:rPr>
      <w:t>Dévérin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5BF"/>
    <w:multiLevelType w:val="hybridMultilevel"/>
    <w:tmpl w:val="D9A40018"/>
    <w:lvl w:ilvl="0" w:tplc="DE1A3B42">
      <w:start w:val="2"/>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5"/>
    <w:rsid w:val="00033536"/>
    <w:rsid w:val="0006291E"/>
    <w:rsid w:val="00066028"/>
    <w:rsid w:val="000C66C6"/>
    <w:rsid w:val="00184EE1"/>
    <w:rsid w:val="001A5135"/>
    <w:rsid w:val="00227103"/>
    <w:rsid w:val="00326BD0"/>
    <w:rsid w:val="00483042"/>
    <w:rsid w:val="004979A9"/>
    <w:rsid w:val="005E472E"/>
    <w:rsid w:val="00712EEB"/>
    <w:rsid w:val="007F0603"/>
    <w:rsid w:val="00817D83"/>
    <w:rsid w:val="009663C2"/>
    <w:rsid w:val="00981518"/>
    <w:rsid w:val="00AB675A"/>
    <w:rsid w:val="00AC229C"/>
    <w:rsid w:val="00B54468"/>
    <w:rsid w:val="00B96447"/>
    <w:rsid w:val="00BD7677"/>
    <w:rsid w:val="00E50F26"/>
    <w:rsid w:val="00EA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79A9"/>
    <w:pPr>
      <w:tabs>
        <w:tab w:val="center" w:pos="4536"/>
        <w:tab w:val="right" w:pos="9072"/>
      </w:tabs>
      <w:spacing w:after="0" w:line="240" w:lineRule="auto"/>
    </w:pPr>
  </w:style>
  <w:style w:type="character" w:customStyle="1" w:styleId="En-tteCar">
    <w:name w:val="En-tête Car"/>
    <w:basedOn w:val="Policepardfaut"/>
    <w:link w:val="En-tte"/>
    <w:uiPriority w:val="99"/>
    <w:rsid w:val="004979A9"/>
  </w:style>
  <w:style w:type="paragraph" w:styleId="Pieddepage">
    <w:name w:val="footer"/>
    <w:basedOn w:val="Normal"/>
    <w:link w:val="PieddepageCar"/>
    <w:uiPriority w:val="99"/>
    <w:unhideWhenUsed/>
    <w:rsid w:val="00497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9A9"/>
  </w:style>
  <w:style w:type="paragraph" w:styleId="Notedebasdepage">
    <w:name w:val="footnote text"/>
    <w:basedOn w:val="Normal"/>
    <w:link w:val="NotedebasdepageCar"/>
    <w:uiPriority w:val="99"/>
    <w:semiHidden/>
    <w:unhideWhenUsed/>
    <w:rsid w:val="007F06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0603"/>
    <w:rPr>
      <w:sz w:val="20"/>
      <w:szCs w:val="20"/>
    </w:rPr>
  </w:style>
  <w:style w:type="character" w:styleId="Appelnotedebasdep">
    <w:name w:val="footnote reference"/>
    <w:basedOn w:val="Policepardfaut"/>
    <w:uiPriority w:val="99"/>
    <w:semiHidden/>
    <w:unhideWhenUsed/>
    <w:rsid w:val="007F0603"/>
    <w:rPr>
      <w:vertAlign w:val="superscript"/>
    </w:rPr>
  </w:style>
  <w:style w:type="paragraph" w:customStyle="1" w:styleId="Default">
    <w:name w:val="Default"/>
    <w:rsid w:val="000335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79A9"/>
    <w:pPr>
      <w:tabs>
        <w:tab w:val="center" w:pos="4536"/>
        <w:tab w:val="right" w:pos="9072"/>
      </w:tabs>
      <w:spacing w:after="0" w:line="240" w:lineRule="auto"/>
    </w:pPr>
  </w:style>
  <w:style w:type="character" w:customStyle="1" w:styleId="En-tteCar">
    <w:name w:val="En-tête Car"/>
    <w:basedOn w:val="Policepardfaut"/>
    <w:link w:val="En-tte"/>
    <w:uiPriority w:val="99"/>
    <w:rsid w:val="004979A9"/>
  </w:style>
  <w:style w:type="paragraph" w:styleId="Pieddepage">
    <w:name w:val="footer"/>
    <w:basedOn w:val="Normal"/>
    <w:link w:val="PieddepageCar"/>
    <w:uiPriority w:val="99"/>
    <w:unhideWhenUsed/>
    <w:rsid w:val="00497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9A9"/>
  </w:style>
  <w:style w:type="paragraph" w:styleId="Notedebasdepage">
    <w:name w:val="footnote text"/>
    <w:basedOn w:val="Normal"/>
    <w:link w:val="NotedebasdepageCar"/>
    <w:uiPriority w:val="99"/>
    <w:semiHidden/>
    <w:unhideWhenUsed/>
    <w:rsid w:val="007F06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0603"/>
    <w:rPr>
      <w:sz w:val="20"/>
      <w:szCs w:val="20"/>
    </w:rPr>
  </w:style>
  <w:style w:type="character" w:styleId="Appelnotedebasdep">
    <w:name w:val="footnote reference"/>
    <w:basedOn w:val="Policepardfaut"/>
    <w:uiPriority w:val="99"/>
    <w:semiHidden/>
    <w:unhideWhenUsed/>
    <w:rsid w:val="007F0603"/>
    <w:rPr>
      <w:vertAlign w:val="superscript"/>
    </w:rPr>
  </w:style>
  <w:style w:type="paragraph" w:customStyle="1" w:styleId="Default">
    <w:name w:val="Default"/>
    <w:rsid w:val="000335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C4B9-7777-4048-8312-CBD1250B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517</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Yveline</dc:creator>
  <cp:keywords/>
  <dc:description/>
  <cp:lastModifiedBy>Yveline</cp:lastModifiedBy>
  <cp:revision>19</cp:revision>
  <dcterms:created xsi:type="dcterms:W3CDTF">2012-03-18T15:42:00Z</dcterms:created>
  <dcterms:modified xsi:type="dcterms:W3CDTF">2012-03-18T19:06:00Z</dcterms:modified>
</cp:coreProperties>
</file>